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D29A8" w14:textId="77777777" w:rsidR="00226163" w:rsidRDefault="00226163" w:rsidP="00D9077E">
      <w:pPr>
        <w:pStyle w:val="Default"/>
        <w:rPr>
          <w:b/>
          <w:bCs/>
        </w:rPr>
      </w:pPr>
    </w:p>
    <w:p w14:paraId="756D29A9" w14:textId="77777777" w:rsidR="00226163" w:rsidRDefault="00226163" w:rsidP="00D9077E">
      <w:pPr>
        <w:pStyle w:val="Default"/>
        <w:rPr>
          <w:b/>
          <w:bCs/>
        </w:rPr>
      </w:pPr>
    </w:p>
    <w:p w14:paraId="756D29AA" w14:textId="77777777" w:rsidR="00226163" w:rsidRDefault="00226163" w:rsidP="00D9077E">
      <w:pPr>
        <w:pStyle w:val="Default"/>
        <w:rPr>
          <w:b/>
          <w:bCs/>
        </w:rPr>
      </w:pPr>
    </w:p>
    <w:p w14:paraId="756D29AB" w14:textId="77777777" w:rsidR="00226163" w:rsidRDefault="00226163" w:rsidP="00D9077E">
      <w:pPr>
        <w:pStyle w:val="Default"/>
        <w:rPr>
          <w:b/>
          <w:bCs/>
        </w:rPr>
      </w:pPr>
    </w:p>
    <w:p w14:paraId="756D29AC" w14:textId="77777777" w:rsidR="00226163" w:rsidRDefault="00226163" w:rsidP="00226163">
      <w:pPr>
        <w:pStyle w:val="Default"/>
        <w:jc w:val="center"/>
        <w:rPr>
          <w:b/>
          <w:bCs/>
          <w:sz w:val="32"/>
          <w:szCs w:val="32"/>
        </w:rPr>
      </w:pPr>
    </w:p>
    <w:p w14:paraId="756D29AD" w14:textId="77777777" w:rsidR="00226163" w:rsidRDefault="00226163" w:rsidP="00226163">
      <w:pPr>
        <w:pStyle w:val="Default"/>
        <w:jc w:val="center"/>
        <w:rPr>
          <w:b/>
          <w:bCs/>
          <w:sz w:val="32"/>
          <w:szCs w:val="32"/>
        </w:rPr>
      </w:pPr>
    </w:p>
    <w:p w14:paraId="756D29AE" w14:textId="77777777" w:rsidR="00226163" w:rsidRDefault="00226163" w:rsidP="00226163">
      <w:pPr>
        <w:pStyle w:val="Default"/>
        <w:jc w:val="center"/>
        <w:rPr>
          <w:b/>
          <w:bCs/>
          <w:sz w:val="32"/>
          <w:szCs w:val="32"/>
        </w:rPr>
      </w:pPr>
      <w:r w:rsidRPr="00226163">
        <w:rPr>
          <w:b/>
          <w:bCs/>
          <w:noProof/>
          <w:sz w:val="32"/>
          <w:szCs w:val="32"/>
          <w:lang w:eastAsia="en-GB"/>
        </w:rPr>
        <w:drawing>
          <wp:inline distT="0" distB="0" distL="0" distR="0" wp14:anchorId="756D2A1B" wp14:editId="756D2A1C">
            <wp:extent cx="4462780" cy="3157461"/>
            <wp:effectExtent l="0" t="0" r="0" b="5080"/>
            <wp:docPr id="1" name="Picture 1" descr="R:\_GROUP PAPERWORK\New Logos\RH Randolph Hill Group logo (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_GROUP PAPERWORK\New Logos\RH Randolph Hill Group logo (small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5386" cy="3180530"/>
                    </a:xfrm>
                    <a:prstGeom prst="rect">
                      <a:avLst/>
                    </a:prstGeom>
                    <a:noFill/>
                    <a:ln>
                      <a:noFill/>
                    </a:ln>
                  </pic:spPr>
                </pic:pic>
              </a:graphicData>
            </a:graphic>
          </wp:inline>
        </w:drawing>
      </w:r>
    </w:p>
    <w:p w14:paraId="756D29AF" w14:textId="77777777" w:rsidR="00226163" w:rsidRDefault="00226163" w:rsidP="00226163">
      <w:pPr>
        <w:pStyle w:val="Default"/>
        <w:jc w:val="center"/>
        <w:rPr>
          <w:b/>
          <w:bCs/>
          <w:sz w:val="32"/>
          <w:szCs w:val="32"/>
        </w:rPr>
      </w:pPr>
    </w:p>
    <w:p w14:paraId="756D29B0" w14:textId="77777777" w:rsidR="00226163" w:rsidRDefault="00226163" w:rsidP="00226163">
      <w:pPr>
        <w:pStyle w:val="Default"/>
        <w:jc w:val="center"/>
        <w:rPr>
          <w:b/>
          <w:bCs/>
          <w:sz w:val="32"/>
          <w:szCs w:val="32"/>
        </w:rPr>
      </w:pPr>
      <w:r>
        <w:rPr>
          <w:b/>
          <w:bCs/>
          <w:sz w:val="32"/>
          <w:szCs w:val="32"/>
        </w:rPr>
        <w:t>ANNUAL DUTY OF CANDOUR REPORT</w:t>
      </w:r>
    </w:p>
    <w:p w14:paraId="756D29B1" w14:textId="77777777" w:rsidR="00226163" w:rsidRDefault="00226163" w:rsidP="00226163">
      <w:pPr>
        <w:pStyle w:val="Default"/>
        <w:jc w:val="center"/>
        <w:rPr>
          <w:b/>
          <w:bCs/>
          <w:sz w:val="32"/>
          <w:szCs w:val="32"/>
        </w:rPr>
      </w:pPr>
    </w:p>
    <w:p w14:paraId="756D29B2" w14:textId="3192BCE3" w:rsidR="00226163" w:rsidRPr="00226163" w:rsidRDefault="00226163" w:rsidP="00226163">
      <w:pPr>
        <w:pStyle w:val="Default"/>
        <w:jc w:val="center"/>
        <w:rPr>
          <w:b/>
          <w:bCs/>
          <w:sz w:val="32"/>
          <w:szCs w:val="32"/>
        </w:rPr>
      </w:pPr>
      <w:r>
        <w:rPr>
          <w:b/>
          <w:bCs/>
          <w:sz w:val="32"/>
          <w:szCs w:val="32"/>
        </w:rPr>
        <w:t>20</w:t>
      </w:r>
      <w:r w:rsidR="00A53440">
        <w:rPr>
          <w:b/>
          <w:bCs/>
          <w:sz w:val="32"/>
          <w:szCs w:val="32"/>
        </w:rPr>
        <w:t>23-2024</w:t>
      </w:r>
    </w:p>
    <w:p w14:paraId="756D29B3" w14:textId="77777777" w:rsidR="00226163" w:rsidRDefault="00226163" w:rsidP="00D9077E">
      <w:pPr>
        <w:pStyle w:val="Default"/>
        <w:rPr>
          <w:b/>
          <w:bCs/>
        </w:rPr>
      </w:pPr>
    </w:p>
    <w:p w14:paraId="756D29B4" w14:textId="77777777" w:rsidR="00226163" w:rsidRDefault="00226163" w:rsidP="00D9077E">
      <w:pPr>
        <w:pStyle w:val="Default"/>
        <w:rPr>
          <w:b/>
          <w:bCs/>
        </w:rPr>
      </w:pPr>
    </w:p>
    <w:p w14:paraId="756D29B5" w14:textId="77777777" w:rsidR="00226163" w:rsidRDefault="00226163" w:rsidP="00D9077E">
      <w:pPr>
        <w:pStyle w:val="Default"/>
        <w:rPr>
          <w:b/>
          <w:bCs/>
        </w:rPr>
      </w:pPr>
    </w:p>
    <w:p w14:paraId="756D29B6" w14:textId="77777777" w:rsidR="00226163" w:rsidRDefault="00226163" w:rsidP="00D9077E">
      <w:pPr>
        <w:pStyle w:val="Default"/>
        <w:rPr>
          <w:b/>
          <w:bCs/>
        </w:rPr>
      </w:pPr>
    </w:p>
    <w:p w14:paraId="756D29B7" w14:textId="77777777" w:rsidR="00226163" w:rsidRDefault="00226163" w:rsidP="00D9077E">
      <w:pPr>
        <w:pStyle w:val="Default"/>
        <w:rPr>
          <w:b/>
          <w:bCs/>
        </w:rPr>
      </w:pPr>
    </w:p>
    <w:p w14:paraId="756D29B8" w14:textId="77777777" w:rsidR="00226163" w:rsidRDefault="00226163" w:rsidP="00D9077E">
      <w:pPr>
        <w:pStyle w:val="Default"/>
        <w:rPr>
          <w:b/>
          <w:bCs/>
        </w:rPr>
      </w:pPr>
    </w:p>
    <w:p w14:paraId="756D29B9" w14:textId="77777777" w:rsidR="00226163" w:rsidRDefault="00226163" w:rsidP="00D9077E">
      <w:pPr>
        <w:pStyle w:val="Default"/>
        <w:rPr>
          <w:b/>
          <w:bCs/>
        </w:rPr>
      </w:pPr>
    </w:p>
    <w:p w14:paraId="756D29BA" w14:textId="77777777" w:rsidR="00226163" w:rsidRDefault="00226163" w:rsidP="00D9077E">
      <w:pPr>
        <w:pStyle w:val="Default"/>
        <w:rPr>
          <w:b/>
          <w:bCs/>
        </w:rPr>
      </w:pPr>
    </w:p>
    <w:p w14:paraId="756D29BB" w14:textId="77777777" w:rsidR="00226163" w:rsidRDefault="00226163" w:rsidP="00D9077E">
      <w:pPr>
        <w:pStyle w:val="Default"/>
        <w:rPr>
          <w:b/>
          <w:bCs/>
        </w:rPr>
      </w:pPr>
    </w:p>
    <w:p w14:paraId="756D29BC" w14:textId="77777777" w:rsidR="00226163" w:rsidRDefault="00226163" w:rsidP="00D9077E">
      <w:pPr>
        <w:pStyle w:val="Default"/>
        <w:rPr>
          <w:b/>
          <w:bCs/>
        </w:rPr>
      </w:pPr>
    </w:p>
    <w:p w14:paraId="756D29BD" w14:textId="77777777" w:rsidR="00226163" w:rsidRDefault="00226163" w:rsidP="00D9077E">
      <w:pPr>
        <w:pStyle w:val="Default"/>
        <w:rPr>
          <w:b/>
          <w:bCs/>
        </w:rPr>
      </w:pPr>
    </w:p>
    <w:p w14:paraId="756D29BE" w14:textId="77777777" w:rsidR="00226163" w:rsidRDefault="00226163" w:rsidP="00D9077E">
      <w:pPr>
        <w:pStyle w:val="Default"/>
        <w:rPr>
          <w:b/>
          <w:bCs/>
        </w:rPr>
      </w:pPr>
    </w:p>
    <w:p w14:paraId="756D29BF" w14:textId="77777777" w:rsidR="00226163" w:rsidRDefault="00226163" w:rsidP="00D9077E">
      <w:pPr>
        <w:pStyle w:val="Default"/>
        <w:rPr>
          <w:b/>
          <w:bCs/>
        </w:rPr>
      </w:pPr>
    </w:p>
    <w:p w14:paraId="756D29C0" w14:textId="77777777" w:rsidR="00226163" w:rsidRDefault="00226163" w:rsidP="00D9077E">
      <w:pPr>
        <w:pStyle w:val="Default"/>
        <w:rPr>
          <w:b/>
          <w:bCs/>
        </w:rPr>
      </w:pPr>
    </w:p>
    <w:p w14:paraId="756D29C1" w14:textId="77777777" w:rsidR="00226163" w:rsidRDefault="00226163" w:rsidP="00D9077E">
      <w:pPr>
        <w:pStyle w:val="Default"/>
        <w:rPr>
          <w:b/>
          <w:bCs/>
        </w:rPr>
      </w:pPr>
    </w:p>
    <w:p w14:paraId="756D29C2" w14:textId="77777777" w:rsidR="00226163" w:rsidRDefault="00226163" w:rsidP="00D9077E">
      <w:pPr>
        <w:pStyle w:val="Default"/>
        <w:rPr>
          <w:b/>
          <w:bCs/>
        </w:rPr>
      </w:pPr>
    </w:p>
    <w:p w14:paraId="756D29C3" w14:textId="77777777" w:rsidR="00226163" w:rsidRDefault="00226163" w:rsidP="00D9077E">
      <w:pPr>
        <w:pStyle w:val="Default"/>
        <w:rPr>
          <w:b/>
          <w:bCs/>
        </w:rPr>
      </w:pPr>
    </w:p>
    <w:p w14:paraId="756D29C4" w14:textId="77777777" w:rsidR="00226163" w:rsidRDefault="00226163" w:rsidP="00D9077E">
      <w:pPr>
        <w:pStyle w:val="Default"/>
        <w:rPr>
          <w:b/>
          <w:bCs/>
        </w:rPr>
      </w:pPr>
    </w:p>
    <w:p w14:paraId="756D29C5" w14:textId="77777777" w:rsidR="00226163" w:rsidRDefault="00226163" w:rsidP="00D9077E">
      <w:pPr>
        <w:pStyle w:val="Default"/>
        <w:rPr>
          <w:b/>
          <w:bCs/>
        </w:rPr>
      </w:pPr>
    </w:p>
    <w:p w14:paraId="756D29C6" w14:textId="77777777" w:rsidR="00226163" w:rsidRDefault="00226163" w:rsidP="00D9077E">
      <w:pPr>
        <w:pStyle w:val="Default"/>
        <w:rPr>
          <w:b/>
          <w:bCs/>
        </w:rPr>
      </w:pPr>
    </w:p>
    <w:p w14:paraId="756D29C7" w14:textId="77777777" w:rsidR="00226163" w:rsidRDefault="00226163" w:rsidP="00D9077E">
      <w:pPr>
        <w:pStyle w:val="Default"/>
        <w:rPr>
          <w:b/>
          <w:bCs/>
        </w:rPr>
      </w:pPr>
    </w:p>
    <w:p w14:paraId="756D29C8" w14:textId="77777777" w:rsidR="00D9077E" w:rsidRPr="006C54F0" w:rsidRDefault="00D9077E" w:rsidP="00D9077E">
      <w:pPr>
        <w:pStyle w:val="Default"/>
        <w:rPr>
          <w:b/>
          <w:bCs/>
        </w:rPr>
      </w:pPr>
      <w:r w:rsidRPr="006C54F0">
        <w:rPr>
          <w:b/>
          <w:bCs/>
        </w:rPr>
        <w:t>Duty of Candour Report for Randolph Hill Nursing Homes Group</w:t>
      </w:r>
    </w:p>
    <w:p w14:paraId="756D29C9" w14:textId="77777777" w:rsidR="00D9077E" w:rsidRPr="006C54F0" w:rsidRDefault="00D9077E" w:rsidP="00D9077E">
      <w:pPr>
        <w:pStyle w:val="Default"/>
        <w:rPr>
          <w:b/>
          <w:bCs/>
        </w:rPr>
      </w:pPr>
    </w:p>
    <w:p w14:paraId="756D29CA" w14:textId="4AE47B8C" w:rsidR="00D9077E" w:rsidRPr="006C54F0" w:rsidRDefault="00D9077E" w:rsidP="00D9077E">
      <w:pPr>
        <w:pStyle w:val="Default"/>
      </w:pPr>
      <w:r w:rsidRPr="006C54F0">
        <w:t xml:space="preserve">All health and social care services in Scotland have a duty of candour. This is a legal requirement which means that when things go wrong and mistakes happen, the people affected understand what has happened, receive an apology, and that organisations learn how to improve for the future. </w:t>
      </w:r>
    </w:p>
    <w:p w14:paraId="756D29CB" w14:textId="77777777" w:rsidR="00510501" w:rsidRPr="006C54F0" w:rsidRDefault="00510501" w:rsidP="00D9077E">
      <w:pPr>
        <w:pStyle w:val="Default"/>
      </w:pPr>
    </w:p>
    <w:p w14:paraId="756D29CC" w14:textId="0CF4F2E8" w:rsidR="00D9077E" w:rsidRPr="006C54F0" w:rsidRDefault="00D9077E" w:rsidP="00D9077E">
      <w:pPr>
        <w:pStyle w:val="Default"/>
      </w:pPr>
      <w:r w:rsidRPr="006C54F0">
        <w:t>An important part of this duty is that we provide an annual report about the duty of candour in our services. This short report describes how Randolph Hill Nursing Homes Group has operated the duty of candour during the time between 1 April 202</w:t>
      </w:r>
      <w:r w:rsidR="00A53440">
        <w:t>3</w:t>
      </w:r>
      <w:r w:rsidRPr="006C54F0">
        <w:t xml:space="preserve"> and 31 March 202</w:t>
      </w:r>
      <w:r w:rsidR="00A53440">
        <w:t>4</w:t>
      </w:r>
      <w:r w:rsidRPr="006C54F0">
        <w:t xml:space="preserve">. </w:t>
      </w:r>
    </w:p>
    <w:p w14:paraId="756D29CD" w14:textId="77777777" w:rsidR="00D9077E" w:rsidRPr="006C54F0" w:rsidRDefault="00D9077E" w:rsidP="00D9077E">
      <w:pPr>
        <w:pStyle w:val="Default"/>
      </w:pPr>
    </w:p>
    <w:p w14:paraId="756D29CE" w14:textId="77777777" w:rsidR="00D9077E" w:rsidRPr="006C54F0" w:rsidRDefault="00D9077E" w:rsidP="00D9077E">
      <w:pPr>
        <w:pStyle w:val="Default"/>
      </w:pPr>
      <w:r w:rsidRPr="006C54F0">
        <w:rPr>
          <w:b/>
          <w:bCs/>
        </w:rPr>
        <w:t>Randolph Hill Nursing Homes Group</w:t>
      </w:r>
    </w:p>
    <w:p w14:paraId="756D29CF" w14:textId="77777777" w:rsidR="00D9077E" w:rsidRPr="006C54F0" w:rsidRDefault="00D9077E" w:rsidP="00D9077E">
      <w:pPr>
        <w:pStyle w:val="Default"/>
      </w:pPr>
      <w:r w:rsidRPr="006C54F0">
        <w:t>Randolph Hill Nursing Homes Group operates seven nursing homes across Edinburgh, the Lothians and Dunblane. Six of our homes provide care and accommodation for up to 60 residen</w:t>
      </w:r>
      <w:r w:rsidR="00001993">
        <w:t>ts, and one for 50</w:t>
      </w:r>
      <w:r w:rsidRPr="006C54F0">
        <w:t xml:space="preserve"> residents.  Our residents are older people who find it very hard to live at home. We aim to ensure these people receive an excellent quality of care and live happy, fulfilled lives. </w:t>
      </w:r>
    </w:p>
    <w:p w14:paraId="756D29D0" w14:textId="77777777" w:rsidR="00510501" w:rsidRPr="006C54F0" w:rsidRDefault="00510501" w:rsidP="00D9077E">
      <w:pPr>
        <w:pStyle w:val="Default"/>
      </w:pPr>
    </w:p>
    <w:p w14:paraId="756D29D1" w14:textId="77777777" w:rsidR="006C54F0" w:rsidRPr="006C54F0" w:rsidRDefault="006C54F0" w:rsidP="00D9077E">
      <w:pPr>
        <w:pStyle w:val="Default"/>
        <w:rPr>
          <w:b/>
        </w:rPr>
      </w:pPr>
      <w:r w:rsidRPr="006C54F0">
        <w:rPr>
          <w:b/>
        </w:rPr>
        <w:t>Information about our policy and procedure</w:t>
      </w:r>
    </w:p>
    <w:p w14:paraId="756D29D2" w14:textId="77777777" w:rsidR="00510501" w:rsidRPr="006C54F0" w:rsidRDefault="00510501" w:rsidP="00D9077E">
      <w:pPr>
        <w:pStyle w:val="Default"/>
      </w:pPr>
      <w:r w:rsidRPr="006C54F0">
        <w:t>The company has a Duty of Candour Policy and guidance for staff.</w:t>
      </w:r>
      <w:r w:rsidR="006C54F0" w:rsidRPr="006C54F0">
        <w:t xml:space="preserve">  This is available at all times on the company’s intranet.</w:t>
      </w:r>
    </w:p>
    <w:p w14:paraId="756D29D3" w14:textId="77777777" w:rsidR="00510501" w:rsidRPr="006C54F0" w:rsidRDefault="00510501" w:rsidP="00D9077E">
      <w:pPr>
        <w:pStyle w:val="Default"/>
      </w:pPr>
    </w:p>
    <w:p w14:paraId="756D29D4" w14:textId="77777777" w:rsidR="006C54F0" w:rsidRPr="006C54F0" w:rsidRDefault="00510501" w:rsidP="00D9077E">
      <w:pPr>
        <w:pStyle w:val="Default"/>
      </w:pPr>
      <w:r w:rsidRPr="006C54F0">
        <w:t xml:space="preserve">All staff receive training during their induction period about what Duty of Candour means, and the importance of being honest and open.  </w:t>
      </w:r>
    </w:p>
    <w:p w14:paraId="756D29D5" w14:textId="77777777" w:rsidR="006C54F0" w:rsidRPr="006C54F0" w:rsidRDefault="006C54F0" w:rsidP="00D9077E">
      <w:pPr>
        <w:pStyle w:val="Default"/>
      </w:pPr>
    </w:p>
    <w:p w14:paraId="756D29D6" w14:textId="77777777" w:rsidR="00510501" w:rsidRPr="006C54F0" w:rsidRDefault="00510501" w:rsidP="00D9077E">
      <w:pPr>
        <w:pStyle w:val="Default"/>
      </w:pPr>
      <w:r w:rsidRPr="006C54F0">
        <w:t>Senior staff receive more detailed training on the requirements of duty of candour, the company policy, and the procedure to follow.</w:t>
      </w:r>
    </w:p>
    <w:p w14:paraId="756D29D7" w14:textId="77777777" w:rsidR="006C54F0" w:rsidRPr="006C54F0" w:rsidRDefault="006C54F0" w:rsidP="00D9077E">
      <w:pPr>
        <w:pStyle w:val="Default"/>
      </w:pPr>
    </w:p>
    <w:p w14:paraId="756D29D8" w14:textId="77777777" w:rsidR="006C54F0" w:rsidRPr="006C54F0" w:rsidRDefault="006C54F0" w:rsidP="006C54F0">
      <w:pPr>
        <w:pStyle w:val="Default"/>
      </w:pPr>
      <w:r w:rsidRPr="006C54F0">
        <w:t>Senior management are available on call, 24 hours a day, to give advice where needed regarding duty of candour incidents.</w:t>
      </w:r>
    </w:p>
    <w:p w14:paraId="756D29D9" w14:textId="77777777" w:rsidR="00D9077E" w:rsidRPr="006C54F0" w:rsidRDefault="00D9077E" w:rsidP="00D9077E">
      <w:pPr>
        <w:pStyle w:val="Default"/>
      </w:pPr>
    </w:p>
    <w:p w14:paraId="756D29DA" w14:textId="77777777" w:rsidR="00D9077E" w:rsidRPr="006C54F0" w:rsidRDefault="00D9077E" w:rsidP="00D9077E">
      <w:pPr>
        <w:pStyle w:val="Default"/>
        <w:rPr>
          <w:b/>
        </w:rPr>
      </w:pPr>
      <w:r w:rsidRPr="006C54F0">
        <w:rPr>
          <w:b/>
        </w:rPr>
        <w:t>How many incidents happened to which the duty of candour applied?</w:t>
      </w:r>
    </w:p>
    <w:p w14:paraId="756D29DB" w14:textId="52929D75" w:rsidR="00D9077E" w:rsidRPr="006C54F0" w:rsidRDefault="00D9077E" w:rsidP="00D9077E">
      <w:pPr>
        <w:pStyle w:val="Default"/>
      </w:pPr>
      <w:r w:rsidRPr="006C54F0">
        <w:t xml:space="preserve">In the past year there have been </w:t>
      </w:r>
      <w:r w:rsidR="00510501" w:rsidRPr="006C54F0">
        <w:t>t</w:t>
      </w:r>
      <w:r w:rsidR="000E02C2">
        <w:t>hree</w:t>
      </w:r>
      <w:r w:rsidRPr="006C54F0">
        <w:t xml:space="preserve"> incidents </w:t>
      </w:r>
      <w:r w:rsidR="004F47EF">
        <w:t xml:space="preserve">which impacted on residents </w:t>
      </w:r>
      <w:r w:rsidRPr="006C54F0">
        <w:t xml:space="preserve">in which the duty of candour applied.  </w:t>
      </w:r>
    </w:p>
    <w:p w14:paraId="756D29DC" w14:textId="77777777" w:rsidR="00D9077E" w:rsidRPr="006C54F0" w:rsidRDefault="00D9077E" w:rsidP="00D9077E">
      <w:pPr>
        <w:pStyle w:val="Default"/>
      </w:pPr>
    </w:p>
    <w:tbl>
      <w:tblPr>
        <w:tblStyle w:val="TableGrid"/>
        <w:tblW w:w="0" w:type="auto"/>
        <w:tblInd w:w="0" w:type="dxa"/>
        <w:tblLook w:val="04A0" w:firstRow="1" w:lastRow="0" w:firstColumn="1" w:lastColumn="0" w:noHBand="0" w:noVBand="1"/>
      </w:tblPr>
      <w:tblGrid>
        <w:gridCol w:w="4516"/>
        <w:gridCol w:w="4500"/>
      </w:tblGrid>
      <w:tr w:rsidR="00D9077E" w:rsidRPr="006C54F0" w14:paraId="756D29DF" w14:textId="77777777" w:rsidTr="00D9077E">
        <w:tc>
          <w:tcPr>
            <w:tcW w:w="4621" w:type="dxa"/>
            <w:tcBorders>
              <w:top w:val="single" w:sz="4" w:space="0" w:color="auto"/>
              <w:left w:val="single" w:sz="4" w:space="0" w:color="auto"/>
              <w:bottom w:val="single" w:sz="4" w:space="0" w:color="auto"/>
              <w:right w:val="single" w:sz="4" w:space="0" w:color="auto"/>
            </w:tcBorders>
            <w:hideMark/>
          </w:tcPr>
          <w:p w14:paraId="756D29DD" w14:textId="77777777" w:rsidR="00D9077E" w:rsidRPr="006C54F0" w:rsidRDefault="00D9077E">
            <w:pPr>
              <w:pStyle w:val="Default"/>
              <w:rPr>
                <w:b/>
              </w:rPr>
            </w:pPr>
            <w:r w:rsidRPr="006C54F0">
              <w:rPr>
                <w:b/>
              </w:rPr>
              <w:t>Type of incident</w:t>
            </w:r>
          </w:p>
        </w:tc>
        <w:tc>
          <w:tcPr>
            <w:tcW w:w="4621" w:type="dxa"/>
            <w:tcBorders>
              <w:top w:val="single" w:sz="4" w:space="0" w:color="auto"/>
              <w:left w:val="single" w:sz="4" w:space="0" w:color="auto"/>
              <w:bottom w:val="single" w:sz="4" w:space="0" w:color="auto"/>
              <w:right w:val="single" w:sz="4" w:space="0" w:color="auto"/>
            </w:tcBorders>
            <w:hideMark/>
          </w:tcPr>
          <w:p w14:paraId="756D29DE" w14:textId="77777777" w:rsidR="00D9077E" w:rsidRPr="006C54F0" w:rsidRDefault="00D9077E">
            <w:pPr>
              <w:pStyle w:val="Default"/>
              <w:rPr>
                <w:b/>
              </w:rPr>
            </w:pPr>
            <w:r w:rsidRPr="006C54F0">
              <w:rPr>
                <w:b/>
              </w:rPr>
              <w:t>Number of times this has happened</w:t>
            </w:r>
          </w:p>
        </w:tc>
      </w:tr>
      <w:tr w:rsidR="00D9077E" w:rsidRPr="006C54F0" w14:paraId="756D29E2" w14:textId="77777777" w:rsidTr="00D9077E">
        <w:tc>
          <w:tcPr>
            <w:tcW w:w="4621" w:type="dxa"/>
            <w:tcBorders>
              <w:top w:val="single" w:sz="4" w:space="0" w:color="auto"/>
              <w:left w:val="single" w:sz="4" w:space="0" w:color="auto"/>
              <w:bottom w:val="single" w:sz="4" w:space="0" w:color="auto"/>
              <w:right w:val="single" w:sz="4" w:space="0" w:color="auto"/>
            </w:tcBorders>
            <w:hideMark/>
          </w:tcPr>
          <w:p w14:paraId="756D29E0" w14:textId="77777777" w:rsidR="00D9077E" w:rsidRPr="006C54F0" w:rsidRDefault="00D9077E">
            <w:pPr>
              <w:pStyle w:val="Default"/>
            </w:pPr>
            <w:r w:rsidRPr="006C54F0">
              <w:t>Someone has died</w:t>
            </w:r>
          </w:p>
        </w:tc>
        <w:tc>
          <w:tcPr>
            <w:tcW w:w="4621" w:type="dxa"/>
            <w:tcBorders>
              <w:top w:val="single" w:sz="4" w:space="0" w:color="auto"/>
              <w:left w:val="single" w:sz="4" w:space="0" w:color="auto"/>
              <w:bottom w:val="single" w:sz="4" w:space="0" w:color="auto"/>
              <w:right w:val="single" w:sz="4" w:space="0" w:color="auto"/>
            </w:tcBorders>
            <w:hideMark/>
          </w:tcPr>
          <w:p w14:paraId="756D29E1" w14:textId="77777777" w:rsidR="00D9077E" w:rsidRPr="006C54F0" w:rsidRDefault="00D9077E">
            <w:pPr>
              <w:pStyle w:val="Default"/>
              <w:rPr>
                <w:b/>
              </w:rPr>
            </w:pPr>
            <w:r w:rsidRPr="006C54F0">
              <w:rPr>
                <w:b/>
              </w:rPr>
              <w:t>0</w:t>
            </w:r>
          </w:p>
        </w:tc>
      </w:tr>
      <w:tr w:rsidR="00D9077E" w:rsidRPr="006C54F0" w14:paraId="756D29E5" w14:textId="77777777" w:rsidTr="00D9077E">
        <w:tc>
          <w:tcPr>
            <w:tcW w:w="4621" w:type="dxa"/>
            <w:tcBorders>
              <w:top w:val="single" w:sz="4" w:space="0" w:color="auto"/>
              <w:left w:val="single" w:sz="4" w:space="0" w:color="auto"/>
              <w:bottom w:val="single" w:sz="4" w:space="0" w:color="auto"/>
              <w:right w:val="single" w:sz="4" w:space="0" w:color="auto"/>
            </w:tcBorders>
            <w:hideMark/>
          </w:tcPr>
          <w:p w14:paraId="756D29E3" w14:textId="77777777" w:rsidR="00D9077E" w:rsidRPr="006C54F0" w:rsidRDefault="00D9077E">
            <w:pPr>
              <w:pStyle w:val="Default"/>
            </w:pPr>
            <w:r w:rsidRPr="006C54F0">
              <w:t>Someone has had permanent loss of bodily, sensory, motor, psychological or intellectual functions</w:t>
            </w:r>
          </w:p>
        </w:tc>
        <w:tc>
          <w:tcPr>
            <w:tcW w:w="4621" w:type="dxa"/>
            <w:tcBorders>
              <w:top w:val="single" w:sz="4" w:space="0" w:color="auto"/>
              <w:left w:val="single" w:sz="4" w:space="0" w:color="auto"/>
              <w:bottom w:val="single" w:sz="4" w:space="0" w:color="auto"/>
              <w:right w:val="single" w:sz="4" w:space="0" w:color="auto"/>
            </w:tcBorders>
            <w:hideMark/>
          </w:tcPr>
          <w:p w14:paraId="756D29E4" w14:textId="77777777" w:rsidR="00D9077E" w:rsidRPr="006C54F0" w:rsidRDefault="00D9077E">
            <w:pPr>
              <w:pStyle w:val="Default"/>
              <w:rPr>
                <w:b/>
              </w:rPr>
            </w:pPr>
            <w:r w:rsidRPr="006C54F0">
              <w:rPr>
                <w:b/>
              </w:rPr>
              <w:t>0</w:t>
            </w:r>
          </w:p>
        </w:tc>
      </w:tr>
      <w:tr w:rsidR="00D9077E" w:rsidRPr="006C54F0" w14:paraId="756D29E8" w14:textId="77777777" w:rsidTr="00D9077E">
        <w:tc>
          <w:tcPr>
            <w:tcW w:w="4621" w:type="dxa"/>
            <w:tcBorders>
              <w:top w:val="single" w:sz="4" w:space="0" w:color="auto"/>
              <w:left w:val="single" w:sz="4" w:space="0" w:color="auto"/>
              <w:bottom w:val="single" w:sz="4" w:space="0" w:color="auto"/>
              <w:right w:val="single" w:sz="4" w:space="0" w:color="auto"/>
            </w:tcBorders>
            <w:hideMark/>
          </w:tcPr>
          <w:p w14:paraId="756D29E6" w14:textId="77777777" w:rsidR="00D9077E" w:rsidRPr="006C54F0" w:rsidRDefault="00D9077E">
            <w:pPr>
              <w:pStyle w:val="Default"/>
            </w:pPr>
            <w:r w:rsidRPr="006C54F0">
              <w:t>Someone’s treatment has increased because of harm</w:t>
            </w:r>
          </w:p>
        </w:tc>
        <w:tc>
          <w:tcPr>
            <w:tcW w:w="4621" w:type="dxa"/>
            <w:tcBorders>
              <w:top w:val="single" w:sz="4" w:space="0" w:color="auto"/>
              <w:left w:val="single" w:sz="4" w:space="0" w:color="auto"/>
              <w:bottom w:val="single" w:sz="4" w:space="0" w:color="auto"/>
              <w:right w:val="single" w:sz="4" w:space="0" w:color="auto"/>
            </w:tcBorders>
            <w:hideMark/>
          </w:tcPr>
          <w:p w14:paraId="756D29E7" w14:textId="53CC50A6" w:rsidR="00D9077E" w:rsidRPr="006C54F0" w:rsidRDefault="000046BF">
            <w:pPr>
              <w:pStyle w:val="Default"/>
              <w:rPr>
                <w:b/>
              </w:rPr>
            </w:pPr>
            <w:r>
              <w:rPr>
                <w:b/>
              </w:rPr>
              <w:t>1</w:t>
            </w:r>
          </w:p>
        </w:tc>
      </w:tr>
      <w:tr w:rsidR="00D9077E" w:rsidRPr="006C54F0" w14:paraId="756D29EB" w14:textId="77777777" w:rsidTr="00D9077E">
        <w:tc>
          <w:tcPr>
            <w:tcW w:w="4621" w:type="dxa"/>
            <w:tcBorders>
              <w:top w:val="single" w:sz="4" w:space="0" w:color="auto"/>
              <w:left w:val="single" w:sz="4" w:space="0" w:color="auto"/>
              <w:bottom w:val="single" w:sz="4" w:space="0" w:color="auto"/>
              <w:right w:val="single" w:sz="4" w:space="0" w:color="auto"/>
            </w:tcBorders>
            <w:hideMark/>
          </w:tcPr>
          <w:p w14:paraId="756D29E9" w14:textId="77777777" w:rsidR="00D9077E" w:rsidRPr="006C54F0" w:rsidRDefault="00D9077E">
            <w:pPr>
              <w:pStyle w:val="Default"/>
            </w:pPr>
            <w:r w:rsidRPr="006C54F0">
              <w:t>The structure of someone’s body changed because of harm</w:t>
            </w:r>
          </w:p>
        </w:tc>
        <w:tc>
          <w:tcPr>
            <w:tcW w:w="4621" w:type="dxa"/>
            <w:tcBorders>
              <w:top w:val="single" w:sz="4" w:space="0" w:color="auto"/>
              <w:left w:val="single" w:sz="4" w:space="0" w:color="auto"/>
              <w:bottom w:val="single" w:sz="4" w:space="0" w:color="auto"/>
              <w:right w:val="single" w:sz="4" w:space="0" w:color="auto"/>
            </w:tcBorders>
            <w:hideMark/>
          </w:tcPr>
          <w:p w14:paraId="756D29EA" w14:textId="3D2A8ABD" w:rsidR="00D9077E" w:rsidRPr="006C54F0" w:rsidRDefault="00733E64">
            <w:pPr>
              <w:pStyle w:val="Default"/>
              <w:rPr>
                <w:b/>
              </w:rPr>
            </w:pPr>
            <w:r>
              <w:rPr>
                <w:b/>
              </w:rPr>
              <w:t>1</w:t>
            </w:r>
          </w:p>
        </w:tc>
      </w:tr>
      <w:tr w:rsidR="00D9077E" w:rsidRPr="006C54F0" w14:paraId="756D29EE" w14:textId="77777777" w:rsidTr="00D9077E">
        <w:tc>
          <w:tcPr>
            <w:tcW w:w="4621" w:type="dxa"/>
            <w:tcBorders>
              <w:top w:val="single" w:sz="4" w:space="0" w:color="auto"/>
              <w:left w:val="single" w:sz="4" w:space="0" w:color="auto"/>
              <w:bottom w:val="single" w:sz="4" w:space="0" w:color="auto"/>
              <w:right w:val="single" w:sz="4" w:space="0" w:color="auto"/>
            </w:tcBorders>
            <w:hideMark/>
          </w:tcPr>
          <w:p w14:paraId="756D29EC" w14:textId="77777777" w:rsidR="00D9077E" w:rsidRPr="006C54F0" w:rsidRDefault="00D9077E">
            <w:pPr>
              <w:pStyle w:val="Default"/>
            </w:pPr>
            <w:r w:rsidRPr="006C54F0">
              <w:t>Someone’s life expectancy became shorted because of harm</w:t>
            </w:r>
          </w:p>
        </w:tc>
        <w:tc>
          <w:tcPr>
            <w:tcW w:w="4621" w:type="dxa"/>
            <w:tcBorders>
              <w:top w:val="single" w:sz="4" w:space="0" w:color="auto"/>
              <w:left w:val="single" w:sz="4" w:space="0" w:color="auto"/>
              <w:bottom w:val="single" w:sz="4" w:space="0" w:color="auto"/>
              <w:right w:val="single" w:sz="4" w:space="0" w:color="auto"/>
            </w:tcBorders>
            <w:hideMark/>
          </w:tcPr>
          <w:p w14:paraId="756D29ED" w14:textId="77777777" w:rsidR="00D9077E" w:rsidRPr="006C54F0" w:rsidRDefault="00D9077E">
            <w:pPr>
              <w:pStyle w:val="Default"/>
              <w:rPr>
                <w:b/>
              </w:rPr>
            </w:pPr>
            <w:r w:rsidRPr="006C54F0">
              <w:rPr>
                <w:b/>
              </w:rPr>
              <w:t>0</w:t>
            </w:r>
          </w:p>
        </w:tc>
      </w:tr>
      <w:tr w:rsidR="00D9077E" w:rsidRPr="006C54F0" w14:paraId="756D29F4" w14:textId="77777777" w:rsidTr="00D9077E">
        <w:tc>
          <w:tcPr>
            <w:tcW w:w="4621"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078"/>
              <w:gridCol w:w="222"/>
            </w:tblGrid>
            <w:tr w:rsidR="00D9077E" w:rsidRPr="006C54F0" w14:paraId="756D29F1" w14:textId="77777777">
              <w:trPr>
                <w:trHeight w:val="270"/>
              </w:trPr>
              <w:tc>
                <w:tcPr>
                  <w:tcW w:w="0" w:type="auto"/>
                  <w:tcBorders>
                    <w:top w:val="nil"/>
                    <w:left w:val="nil"/>
                    <w:bottom w:val="nil"/>
                    <w:right w:val="nil"/>
                  </w:tcBorders>
                  <w:hideMark/>
                </w:tcPr>
                <w:p w14:paraId="756D29EF" w14:textId="77777777" w:rsidR="00D9077E" w:rsidRPr="006C54F0" w:rsidRDefault="00D9077E">
                  <w:pPr>
                    <w:pStyle w:val="Default"/>
                    <w:spacing w:line="256" w:lineRule="auto"/>
                    <w:ind w:left="-79"/>
                  </w:pPr>
                  <w:r w:rsidRPr="006C54F0">
                    <w:lastRenderedPageBreak/>
                    <w:t xml:space="preserve">Someone’s sensory, motor or intellectual functions </w:t>
                  </w:r>
                  <w:r w:rsidR="00940426">
                    <w:t>is impaired for 28 days or more</w:t>
                  </w:r>
                  <w:r w:rsidRPr="006C54F0">
                    <w:t>.</w:t>
                  </w:r>
                </w:p>
              </w:tc>
              <w:tc>
                <w:tcPr>
                  <w:tcW w:w="0" w:type="auto"/>
                  <w:tcBorders>
                    <w:top w:val="nil"/>
                    <w:left w:val="nil"/>
                    <w:bottom w:val="nil"/>
                    <w:right w:val="nil"/>
                  </w:tcBorders>
                </w:tcPr>
                <w:p w14:paraId="756D29F0" w14:textId="77777777" w:rsidR="00D9077E" w:rsidRPr="006C54F0" w:rsidRDefault="00D9077E">
                  <w:pPr>
                    <w:pStyle w:val="Default"/>
                    <w:spacing w:line="256" w:lineRule="auto"/>
                  </w:pPr>
                </w:p>
              </w:tc>
            </w:tr>
          </w:tbl>
          <w:p w14:paraId="756D29F2" w14:textId="77777777" w:rsidR="00D9077E" w:rsidRPr="006C54F0" w:rsidRDefault="00D9077E">
            <w:pPr>
              <w:pStyle w:val="Default"/>
            </w:pPr>
          </w:p>
        </w:tc>
        <w:tc>
          <w:tcPr>
            <w:tcW w:w="4621" w:type="dxa"/>
            <w:tcBorders>
              <w:top w:val="single" w:sz="4" w:space="0" w:color="auto"/>
              <w:left w:val="single" w:sz="4" w:space="0" w:color="auto"/>
              <w:bottom w:val="single" w:sz="4" w:space="0" w:color="auto"/>
              <w:right w:val="single" w:sz="4" w:space="0" w:color="auto"/>
            </w:tcBorders>
            <w:hideMark/>
          </w:tcPr>
          <w:p w14:paraId="756D29F3" w14:textId="77777777" w:rsidR="00D9077E" w:rsidRPr="006C54F0" w:rsidRDefault="00D9077E">
            <w:pPr>
              <w:pStyle w:val="Default"/>
              <w:rPr>
                <w:b/>
              </w:rPr>
            </w:pPr>
            <w:r w:rsidRPr="006C54F0">
              <w:rPr>
                <w:b/>
              </w:rPr>
              <w:t>0</w:t>
            </w:r>
          </w:p>
        </w:tc>
      </w:tr>
      <w:tr w:rsidR="00D9077E" w:rsidRPr="006C54F0" w14:paraId="756D29F7" w14:textId="77777777" w:rsidTr="00D9077E">
        <w:tc>
          <w:tcPr>
            <w:tcW w:w="4621" w:type="dxa"/>
            <w:tcBorders>
              <w:top w:val="single" w:sz="4" w:space="0" w:color="auto"/>
              <w:left w:val="single" w:sz="4" w:space="0" w:color="auto"/>
              <w:bottom w:val="single" w:sz="4" w:space="0" w:color="auto"/>
              <w:right w:val="single" w:sz="4" w:space="0" w:color="auto"/>
            </w:tcBorders>
            <w:hideMark/>
          </w:tcPr>
          <w:p w14:paraId="756D29F5" w14:textId="77777777" w:rsidR="00D9077E" w:rsidRPr="006C54F0" w:rsidRDefault="00D9077E">
            <w:pPr>
              <w:pStyle w:val="Default"/>
            </w:pPr>
            <w:r w:rsidRPr="006C54F0">
              <w:t>Someone experienced pain or psychological harm for 28 days or more</w:t>
            </w:r>
          </w:p>
        </w:tc>
        <w:tc>
          <w:tcPr>
            <w:tcW w:w="4621" w:type="dxa"/>
            <w:tcBorders>
              <w:top w:val="single" w:sz="4" w:space="0" w:color="auto"/>
              <w:left w:val="single" w:sz="4" w:space="0" w:color="auto"/>
              <w:bottom w:val="single" w:sz="4" w:space="0" w:color="auto"/>
              <w:right w:val="single" w:sz="4" w:space="0" w:color="auto"/>
            </w:tcBorders>
            <w:hideMark/>
          </w:tcPr>
          <w:p w14:paraId="756D29F6" w14:textId="182275AA" w:rsidR="00D9077E" w:rsidRPr="006C54F0" w:rsidRDefault="00E17B2A">
            <w:pPr>
              <w:pStyle w:val="Default"/>
              <w:rPr>
                <w:b/>
              </w:rPr>
            </w:pPr>
            <w:r>
              <w:rPr>
                <w:b/>
              </w:rPr>
              <w:t>1</w:t>
            </w:r>
          </w:p>
        </w:tc>
      </w:tr>
      <w:tr w:rsidR="00D9077E" w:rsidRPr="006C54F0" w14:paraId="756D29FA" w14:textId="77777777" w:rsidTr="00D9077E">
        <w:tc>
          <w:tcPr>
            <w:tcW w:w="4621" w:type="dxa"/>
            <w:tcBorders>
              <w:top w:val="single" w:sz="4" w:space="0" w:color="auto"/>
              <w:left w:val="single" w:sz="4" w:space="0" w:color="auto"/>
              <w:bottom w:val="single" w:sz="4" w:space="0" w:color="auto"/>
              <w:right w:val="single" w:sz="4" w:space="0" w:color="auto"/>
            </w:tcBorders>
            <w:hideMark/>
          </w:tcPr>
          <w:p w14:paraId="756D29F8" w14:textId="77777777" w:rsidR="00D9077E" w:rsidRPr="006C54F0" w:rsidRDefault="00D9077E">
            <w:pPr>
              <w:pStyle w:val="Default"/>
            </w:pPr>
            <w:r w:rsidRPr="006C54F0">
              <w:t>A person needed health treatment in order to prevent them dying</w:t>
            </w:r>
          </w:p>
        </w:tc>
        <w:tc>
          <w:tcPr>
            <w:tcW w:w="4621" w:type="dxa"/>
            <w:tcBorders>
              <w:top w:val="single" w:sz="4" w:space="0" w:color="auto"/>
              <w:left w:val="single" w:sz="4" w:space="0" w:color="auto"/>
              <w:bottom w:val="single" w:sz="4" w:space="0" w:color="auto"/>
              <w:right w:val="single" w:sz="4" w:space="0" w:color="auto"/>
            </w:tcBorders>
            <w:hideMark/>
          </w:tcPr>
          <w:p w14:paraId="756D29F9" w14:textId="77777777" w:rsidR="00D9077E" w:rsidRPr="006C54F0" w:rsidRDefault="00D9077E">
            <w:pPr>
              <w:pStyle w:val="Default"/>
              <w:rPr>
                <w:b/>
              </w:rPr>
            </w:pPr>
            <w:r w:rsidRPr="006C54F0">
              <w:rPr>
                <w:b/>
              </w:rPr>
              <w:t>0</w:t>
            </w:r>
          </w:p>
        </w:tc>
      </w:tr>
      <w:tr w:rsidR="00D9077E" w:rsidRPr="006C54F0" w14:paraId="756D29FD" w14:textId="77777777" w:rsidTr="00D9077E">
        <w:tc>
          <w:tcPr>
            <w:tcW w:w="4621" w:type="dxa"/>
            <w:tcBorders>
              <w:top w:val="single" w:sz="4" w:space="0" w:color="auto"/>
              <w:left w:val="single" w:sz="4" w:space="0" w:color="auto"/>
              <w:bottom w:val="single" w:sz="4" w:space="0" w:color="auto"/>
              <w:right w:val="single" w:sz="4" w:space="0" w:color="auto"/>
            </w:tcBorders>
            <w:hideMark/>
          </w:tcPr>
          <w:p w14:paraId="756D29FB" w14:textId="77777777" w:rsidR="00D9077E" w:rsidRPr="006C54F0" w:rsidRDefault="00D9077E">
            <w:pPr>
              <w:pStyle w:val="Default"/>
            </w:pPr>
            <w:r w:rsidRPr="006C54F0">
              <w:t>A person needing health treatment in order to prevent other injuries</w:t>
            </w:r>
          </w:p>
        </w:tc>
        <w:tc>
          <w:tcPr>
            <w:tcW w:w="4621" w:type="dxa"/>
            <w:tcBorders>
              <w:top w:val="single" w:sz="4" w:space="0" w:color="auto"/>
              <w:left w:val="single" w:sz="4" w:space="0" w:color="auto"/>
              <w:bottom w:val="single" w:sz="4" w:space="0" w:color="auto"/>
              <w:right w:val="single" w:sz="4" w:space="0" w:color="auto"/>
            </w:tcBorders>
            <w:hideMark/>
          </w:tcPr>
          <w:p w14:paraId="756D29FC" w14:textId="77777777" w:rsidR="00D9077E" w:rsidRPr="006C54F0" w:rsidRDefault="00AF456C">
            <w:pPr>
              <w:pStyle w:val="Default"/>
              <w:rPr>
                <w:b/>
              </w:rPr>
            </w:pPr>
            <w:r w:rsidRPr="006C54F0">
              <w:rPr>
                <w:b/>
              </w:rPr>
              <w:t>0</w:t>
            </w:r>
          </w:p>
        </w:tc>
      </w:tr>
    </w:tbl>
    <w:p w14:paraId="756D29FE" w14:textId="77777777" w:rsidR="00D9077E" w:rsidRPr="006C54F0" w:rsidRDefault="00D9077E" w:rsidP="00D9077E">
      <w:pPr>
        <w:pStyle w:val="Default"/>
        <w:rPr>
          <w:b/>
        </w:rPr>
      </w:pPr>
    </w:p>
    <w:p w14:paraId="756D2A02" w14:textId="1321AF80" w:rsidR="00AF456C" w:rsidRDefault="008A4A23" w:rsidP="00D9077E">
      <w:pPr>
        <w:pStyle w:val="Default"/>
        <w:ind w:left="-142"/>
        <w:rPr>
          <w:bCs/>
        </w:rPr>
      </w:pPr>
      <w:r>
        <w:rPr>
          <w:bCs/>
        </w:rPr>
        <w:t xml:space="preserve">One incident </w:t>
      </w:r>
      <w:r w:rsidR="00475B04">
        <w:rPr>
          <w:bCs/>
        </w:rPr>
        <w:t>involved a resident who fell from a wheelchair and sustained a fractured arm.</w:t>
      </w:r>
    </w:p>
    <w:p w14:paraId="2761FA85" w14:textId="77777777" w:rsidR="00475B04" w:rsidRDefault="00475B04" w:rsidP="00D9077E">
      <w:pPr>
        <w:pStyle w:val="Default"/>
        <w:ind w:left="-142"/>
        <w:rPr>
          <w:bCs/>
        </w:rPr>
      </w:pPr>
    </w:p>
    <w:p w14:paraId="15BE60AC" w14:textId="679DBB28" w:rsidR="00475B04" w:rsidRDefault="00171389" w:rsidP="00D9077E">
      <w:pPr>
        <w:pStyle w:val="Default"/>
        <w:ind w:left="-142"/>
        <w:rPr>
          <w:bCs/>
        </w:rPr>
      </w:pPr>
      <w:r>
        <w:rPr>
          <w:bCs/>
        </w:rPr>
        <w:t>One incident involved a resident who was caused distress by the action of a member of staff</w:t>
      </w:r>
      <w:r w:rsidR="0070195A">
        <w:rPr>
          <w:bCs/>
        </w:rPr>
        <w:t>.</w:t>
      </w:r>
    </w:p>
    <w:p w14:paraId="14A1A2DF" w14:textId="77777777" w:rsidR="0070195A" w:rsidRDefault="0070195A" w:rsidP="00D9077E">
      <w:pPr>
        <w:pStyle w:val="Default"/>
        <w:ind w:left="-142"/>
        <w:rPr>
          <w:bCs/>
        </w:rPr>
      </w:pPr>
    </w:p>
    <w:p w14:paraId="3818ED9E" w14:textId="1526380B" w:rsidR="0070195A" w:rsidRDefault="000D4022" w:rsidP="00D9077E">
      <w:pPr>
        <w:pStyle w:val="Default"/>
        <w:ind w:left="-142"/>
        <w:rPr>
          <w:bCs/>
        </w:rPr>
      </w:pPr>
      <w:r>
        <w:rPr>
          <w:bCs/>
        </w:rPr>
        <w:t xml:space="preserve">One incident involved </w:t>
      </w:r>
      <w:r w:rsidR="00FF5D4F">
        <w:rPr>
          <w:bCs/>
        </w:rPr>
        <w:t>a delay in escalating concerns about a wound to a specialist nurse</w:t>
      </w:r>
      <w:r w:rsidR="00CC208A">
        <w:rPr>
          <w:bCs/>
        </w:rPr>
        <w:t>.</w:t>
      </w:r>
    </w:p>
    <w:p w14:paraId="2B18FE4D" w14:textId="77777777" w:rsidR="00CC208A" w:rsidRPr="0047282E" w:rsidRDefault="00CC208A" w:rsidP="00D9077E">
      <w:pPr>
        <w:pStyle w:val="Default"/>
        <w:ind w:left="-142"/>
        <w:rPr>
          <w:bCs/>
        </w:rPr>
      </w:pPr>
    </w:p>
    <w:p w14:paraId="756D2A03" w14:textId="77777777" w:rsidR="00D9077E" w:rsidRPr="006C54F0" w:rsidRDefault="00D9077E" w:rsidP="00D9077E">
      <w:pPr>
        <w:pStyle w:val="Default"/>
        <w:ind w:left="-142"/>
      </w:pPr>
      <w:r w:rsidRPr="006C54F0">
        <w:rPr>
          <w:b/>
          <w:bCs/>
        </w:rPr>
        <w:t xml:space="preserve">To what extent did </w:t>
      </w:r>
      <w:r w:rsidR="00AF456C" w:rsidRPr="006C54F0">
        <w:rPr>
          <w:b/>
          <w:bCs/>
        </w:rPr>
        <w:t>Randolph Hill Nursing Homes Group</w:t>
      </w:r>
      <w:r w:rsidRPr="006C54F0">
        <w:rPr>
          <w:b/>
          <w:bCs/>
        </w:rPr>
        <w:t xml:space="preserve"> follow the duty of candour procedure? </w:t>
      </w:r>
    </w:p>
    <w:p w14:paraId="756D2A04" w14:textId="77777777" w:rsidR="00AF456C" w:rsidRPr="006C54F0" w:rsidRDefault="00AF456C" w:rsidP="00D9077E">
      <w:pPr>
        <w:pStyle w:val="Default"/>
        <w:ind w:left="-142"/>
      </w:pPr>
    </w:p>
    <w:p w14:paraId="756D2A05" w14:textId="77777777" w:rsidR="00AF456C" w:rsidRDefault="00AF456C" w:rsidP="00D9077E">
      <w:pPr>
        <w:pStyle w:val="Default"/>
        <w:ind w:left="-142"/>
      </w:pPr>
      <w:r w:rsidRPr="006C54F0">
        <w:t>In each case, our procedure for recording accidents and incidents identified that these were duty of candour incidents.</w:t>
      </w:r>
    </w:p>
    <w:p w14:paraId="756D2A06" w14:textId="77777777" w:rsidR="00940426" w:rsidRDefault="00940426" w:rsidP="00D9077E">
      <w:pPr>
        <w:pStyle w:val="Default"/>
        <w:ind w:left="-142"/>
      </w:pPr>
    </w:p>
    <w:p w14:paraId="756D2A07" w14:textId="77777777" w:rsidR="00940426" w:rsidRPr="006C54F0" w:rsidRDefault="00940426" w:rsidP="00940426">
      <w:pPr>
        <w:pStyle w:val="Default"/>
        <w:ind w:left="-142"/>
      </w:pPr>
      <w:r w:rsidRPr="006C54F0">
        <w:t>Senior management was made aware as part of our regular reporting procedures.</w:t>
      </w:r>
    </w:p>
    <w:p w14:paraId="756D2A08" w14:textId="77777777" w:rsidR="00AF456C" w:rsidRPr="006C54F0" w:rsidRDefault="00AF456C" w:rsidP="00D9077E">
      <w:pPr>
        <w:pStyle w:val="Default"/>
        <w:ind w:left="-142"/>
      </w:pPr>
    </w:p>
    <w:p w14:paraId="756D2A09" w14:textId="77777777" w:rsidR="00AF456C" w:rsidRPr="006C54F0" w:rsidRDefault="00AF456C" w:rsidP="00D9077E">
      <w:pPr>
        <w:pStyle w:val="Default"/>
        <w:ind w:left="-142"/>
      </w:pPr>
      <w:r w:rsidRPr="006C54F0">
        <w:t>The Care Inspectorate were notified through eforms, as part of the normal notification procedure.</w:t>
      </w:r>
    </w:p>
    <w:p w14:paraId="756D2A0A" w14:textId="77777777" w:rsidR="00C63B3C" w:rsidRPr="006C54F0" w:rsidRDefault="00C63B3C" w:rsidP="00940426">
      <w:pPr>
        <w:pStyle w:val="Default"/>
      </w:pPr>
    </w:p>
    <w:p w14:paraId="756D2A0B" w14:textId="77777777" w:rsidR="00C63B3C" w:rsidRPr="006C54F0" w:rsidRDefault="00C63B3C" w:rsidP="00D9077E">
      <w:pPr>
        <w:pStyle w:val="Default"/>
        <w:ind w:left="-142"/>
      </w:pPr>
      <w:r w:rsidRPr="006C54F0">
        <w:t xml:space="preserve">An </w:t>
      </w:r>
      <w:r w:rsidR="00940426">
        <w:t xml:space="preserve">explanation of our findings and an </w:t>
      </w:r>
      <w:r w:rsidRPr="006C54F0">
        <w:t>apology was offered to the resident or their nominated representative.</w:t>
      </w:r>
    </w:p>
    <w:p w14:paraId="756D2A0C" w14:textId="77777777" w:rsidR="000B59A3" w:rsidRPr="006C54F0" w:rsidRDefault="000B59A3" w:rsidP="00D9077E">
      <w:pPr>
        <w:pStyle w:val="Default"/>
        <w:ind w:left="-142"/>
      </w:pPr>
    </w:p>
    <w:p w14:paraId="756D2A0D" w14:textId="700237FE" w:rsidR="000B59A3" w:rsidRPr="006C54F0" w:rsidRDefault="000B59A3" w:rsidP="00D9077E">
      <w:pPr>
        <w:pStyle w:val="Default"/>
        <w:ind w:left="-142"/>
      </w:pPr>
      <w:r w:rsidRPr="006C54F0">
        <w:t xml:space="preserve">In each case, consideration was given to what could be learned, </w:t>
      </w:r>
      <w:r w:rsidR="00226163" w:rsidRPr="006C54F0">
        <w:t xml:space="preserve">both at an individual and </w:t>
      </w:r>
      <w:r w:rsidR="00F31AD1">
        <w:t xml:space="preserve">at an </w:t>
      </w:r>
      <w:r w:rsidR="00226163" w:rsidRPr="006C54F0">
        <w:t xml:space="preserve">organisational level.  </w:t>
      </w:r>
      <w:r w:rsidR="000003BC">
        <w:t>Where necessary, i</w:t>
      </w:r>
      <w:r w:rsidRPr="006C54F0">
        <w:t xml:space="preserve">mprovements </w:t>
      </w:r>
      <w:r w:rsidR="00940426">
        <w:t xml:space="preserve">were </w:t>
      </w:r>
      <w:r w:rsidRPr="006C54F0">
        <w:t>made to the way care was provided to residents.  Staff were reminded of company policies and procedures, and the importance of following care plans.</w:t>
      </w:r>
    </w:p>
    <w:p w14:paraId="756D2A0E" w14:textId="77777777" w:rsidR="00AF456C" w:rsidRPr="006C54F0" w:rsidRDefault="00AF456C" w:rsidP="00D9077E">
      <w:pPr>
        <w:pStyle w:val="Default"/>
        <w:ind w:left="-142"/>
      </w:pPr>
    </w:p>
    <w:p w14:paraId="756D2A0F" w14:textId="77777777" w:rsidR="00D9077E" w:rsidRPr="006C54F0" w:rsidRDefault="00D9077E" w:rsidP="00D9077E">
      <w:pPr>
        <w:pStyle w:val="Default"/>
        <w:ind w:left="-142"/>
      </w:pPr>
      <w:r w:rsidRPr="006C54F0">
        <w:rPr>
          <w:b/>
          <w:bCs/>
        </w:rPr>
        <w:t xml:space="preserve">What has changed as a result? </w:t>
      </w:r>
    </w:p>
    <w:p w14:paraId="756D2A10" w14:textId="635186F6" w:rsidR="000B59A3" w:rsidRPr="006C54F0" w:rsidRDefault="00D9077E" w:rsidP="00730674">
      <w:pPr>
        <w:pStyle w:val="Default"/>
        <w:numPr>
          <w:ilvl w:val="0"/>
          <w:numId w:val="1"/>
        </w:numPr>
        <w:spacing w:after="78"/>
      </w:pPr>
      <w:r w:rsidRPr="006C54F0">
        <w:t xml:space="preserve">In response to </w:t>
      </w:r>
      <w:r w:rsidR="000B59A3" w:rsidRPr="006C54F0">
        <w:t xml:space="preserve">the incident involving </w:t>
      </w:r>
      <w:r w:rsidR="00CC208A">
        <w:t xml:space="preserve">the wheelchair, </w:t>
      </w:r>
      <w:r w:rsidR="00730674">
        <w:t>the home reviewed the use of lapstraps for all residents who use wheelchairs, to make sure that safety straps were being used appropriately.</w:t>
      </w:r>
      <w:r w:rsidR="000B59A3" w:rsidRPr="006C54F0">
        <w:t xml:space="preserve">  </w:t>
      </w:r>
    </w:p>
    <w:p w14:paraId="756D2A12" w14:textId="110EAB7C" w:rsidR="00D9077E" w:rsidRDefault="000B59A3" w:rsidP="000722B2">
      <w:pPr>
        <w:pStyle w:val="Default"/>
        <w:numPr>
          <w:ilvl w:val="0"/>
          <w:numId w:val="1"/>
        </w:numPr>
        <w:spacing w:after="78"/>
      </w:pPr>
      <w:r w:rsidRPr="006C54F0">
        <w:t>In response to the</w:t>
      </w:r>
      <w:r w:rsidR="00D9077E" w:rsidRPr="006C54F0">
        <w:t xml:space="preserve"> </w:t>
      </w:r>
      <w:r w:rsidR="00730674">
        <w:t xml:space="preserve">incident where a resident was caused distress by the action of a staff member, we </w:t>
      </w:r>
      <w:r w:rsidR="000722B2">
        <w:t xml:space="preserve">followed our company policy and procedures in </w:t>
      </w:r>
      <w:r w:rsidR="00730674">
        <w:t>investigat</w:t>
      </w:r>
      <w:r w:rsidR="00DB15BA">
        <w:t>ing and addressing the concerns</w:t>
      </w:r>
      <w:r w:rsidR="00F53DA3">
        <w:t xml:space="preserve"> with the staff member</w:t>
      </w:r>
      <w:r w:rsidR="00DB15BA">
        <w:t>.</w:t>
      </w:r>
    </w:p>
    <w:p w14:paraId="42F75D70" w14:textId="2C910F79" w:rsidR="00DB15BA" w:rsidRDefault="00DB15BA" w:rsidP="000722B2">
      <w:pPr>
        <w:pStyle w:val="Default"/>
        <w:numPr>
          <w:ilvl w:val="0"/>
          <w:numId w:val="1"/>
        </w:numPr>
        <w:spacing w:after="78"/>
      </w:pPr>
      <w:r>
        <w:t xml:space="preserve">In response to the delay in escalating concerns about a wound to a specialist nurse, </w:t>
      </w:r>
      <w:r w:rsidR="006C1510">
        <w:t xml:space="preserve">we </w:t>
      </w:r>
      <w:r w:rsidR="00420691">
        <w:t>ensured that the resident was seen by the specialist nurse and an appro</w:t>
      </w:r>
      <w:r w:rsidR="00096E15">
        <w:t>priate plan of care put into place.  W</w:t>
      </w:r>
      <w:r w:rsidR="00982290">
        <w:t>e</w:t>
      </w:r>
      <w:r w:rsidR="00096E15">
        <w:t xml:space="preserve"> also made sure that the incident </w:t>
      </w:r>
      <w:r w:rsidR="00096E15">
        <w:lastRenderedPageBreak/>
        <w:t>was reviewed with the staff involved</w:t>
      </w:r>
      <w:r w:rsidR="00982290">
        <w:t>, so that it would not be repeated in the future.</w:t>
      </w:r>
    </w:p>
    <w:p w14:paraId="56333371" w14:textId="77777777" w:rsidR="00982290" w:rsidRPr="000722B2" w:rsidRDefault="00982290" w:rsidP="00982290">
      <w:pPr>
        <w:pStyle w:val="Default"/>
        <w:spacing w:after="78"/>
        <w:ind w:left="578"/>
      </w:pPr>
    </w:p>
    <w:p w14:paraId="756D2A13" w14:textId="77777777" w:rsidR="004E4A82" w:rsidRPr="006C54F0" w:rsidRDefault="004E4A82" w:rsidP="00D9077E">
      <w:pPr>
        <w:pStyle w:val="Default"/>
        <w:rPr>
          <w:bCs/>
        </w:rPr>
      </w:pPr>
      <w:r w:rsidRPr="006C54F0">
        <w:rPr>
          <w:bCs/>
        </w:rPr>
        <w:t xml:space="preserve">Whilst the focus of any investigation following a duty of candour incident is to highlight learning and improvement, staff are supported to understand the role their practice played in the incident.  </w:t>
      </w:r>
    </w:p>
    <w:p w14:paraId="756D2A14" w14:textId="77777777" w:rsidR="004E4A82" w:rsidRPr="006C54F0" w:rsidRDefault="004E4A82" w:rsidP="00D9077E">
      <w:pPr>
        <w:pStyle w:val="Default"/>
        <w:rPr>
          <w:bCs/>
        </w:rPr>
      </w:pPr>
    </w:p>
    <w:p w14:paraId="43FD1115" w14:textId="0380479E" w:rsidR="00490CE4" w:rsidRPr="006C54F0" w:rsidRDefault="004E4A82" w:rsidP="00D9077E">
      <w:pPr>
        <w:pStyle w:val="Default"/>
        <w:rPr>
          <w:bCs/>
        </w:rPr>
      </w:pPr>
      <w:r w:rsidRPr="006C54F0">
        <w:rPr>
          <w:bCs/>
        </w:rPr>
        <w:t>Where wrongdoing is identified, the company’s normal disciplinary procedures will be applied</w:t>
      </w:r>
      <w:r w:rsidR="0097151E">
        <w:rPr>
          <w:bCs/>
        </w:rPr>
        <w:t>, and statutory regulatory bodies notified as appropriate.</w:t>
      </w:r>
    </w:p>
    <w:p w14:paraId="756D2A16" w14:textId="77777777" w:rsidR="004E4A82" w:rsidRPr="006C54F0" w:rsidRDefault="004E4A82" w:rsidP="00D9077E">
      <w:pPr>
        <w:pStyle w:val="Default"/>
        <w:rPr>
          <w:bCs/>
        </w:rPr>
      </w:pPr>
    </w:p>
    <w:p w14:paraId="756D2A17" w14:textId="77777777" w:rsidR="00D9077E" w:rsidRPr="006C54F0" w:rsidRDefault="00D9077E" w:rsidP="00D9077E">
      <w:pPr>
        <w:pStyle w:val="Default"/>
      </w:pPr>
      <w:r w:rsidRPr="006C54F0">
        <w:rPr>
          <w:b/>
          <w:bCs/>
        </w:rPr>
        <w:t xml:space="preserve">Other information </w:t>
      </w:r>
    </w:p>
    <w:p w14:paraId="756D2A18" w14:textId="77777777" w:rsidR="00D9077E" w:rsidRPr="006C54F0" w:rsidRDefault="00D9077E" w:rsidP="00D9077E">
      <w:pPr>
        <w:rPr>
          <w:rFonts w:ascii="Arial" w:hAnsi="Arial" w:cs="Arial"/>
          <w:sz w:val="24"/>
          <w:szCs w:val="24"/>
        </w:rPr>
      </w:pPr>
      <w:r w:rsidRPr="006C54F0">
        <w:rPr>
          <w:rFonts w:ascii="Arial" w:hAnsi="Arial" w:cs="Arial"/>
          <w:sz w:val="24"/>
          <w:szCs w:val="24"/>
        </w:rPr>
        <w:t xml:space="preserve">If you would like more information about </w:t>
      </w:r>
      <w:r w:rsidR="004E4A82" w:rsidRPr="006C54F0">
        <w:rPr>
          <w:rFonts w:ascii="Arial" w:hAnsi="Arial" w:cs="Arial"/>
          <w:sz w:val="24"/>
          <w:szCs w:val="24"/>
        </w:rPr>
        <w:t xml:space="preserve">this report, or about </w:t>
      </w:r>
      <w:r w:rsidRPr="006C54F0">
        <w:rPr>
          <w:rFonts w:ascii="Arial" w:hAnsi="Arial" w:cs="Arial"/>
          <w:sz w:val="24"/>
          <w:szCs w:val="24"/>
        </w:rPr>
        <w:t>our care home</w:t>
      </w:r>
      <w:r w:rsidR="004E4A82" w:rsidRPr="006C54F0">
        <w:rPr>
          <w:rFonts w:ascii="Arial" w:hAnsi="Arial" w:cs="Arial"/>
          <w:sz w:val="24"/>
          <w:szCs w:val="24"/>
        </w:rPr>
        <w:t>s</w:t>
      </w:r>
      <w:r w:rsidRPr="006C54F0">
        <w:rPr>
          <w:rFonts w:ascii="Arial" w:hAnsi="Arial" w:cs="Arial"/>
          <w:sz w:val="24"/>
          <w:szCs w:val="24"/>
        </w:rPr>
        <w:t xml:space="preserve">, please contact us </w:t>
      </w:r>
      <w:r w:rsidR="004E4A82" w:rsidRPr="006C54F0">
        <w:rPr>
          <w:rFonts w:ascii="Arial" w:hAnsi="Arial" w:cs="Arial"/>
          <w:sz w:val="24"/>
          <w:szCs w:val="24"/>
        </w:rPr>
        <w:t>via our website randolphhill.co.uk or by contacting 0131 523 0440</w:t>
      </w:r>
      <w:r w:rsidRPr="006C54F0">
        <w:rPr>
          <w:rFonts w:ascii="Arial" w:hAnsi="Arial" w:cs="Arial"/>
          <w:sz w:val="24"/>
          <w:szCs w:val="24"/>
        </w:rPr>
        <w:t>.</w:t>
      </w:r>
    </w:p>
    <w:p w14:paraId="756D2A19" w14:textId="77777777" w:rsidR="00D9077E" w:rsidRPr="006C54F0" w:rsidRDefault="00D9077E" w:rsidP="00D9077E">
      <w:pPr>
        <w:spacing w:after="0" w:line="240" w:lineRule="auto"/>
        <w:rPr>
          <w:rFonts w:ascii="Arial" w:hAnsi="Arial" w:cs="Arial"/>
          <w:b/>
          <w:sz w:val="24"/>
          <w:szCs w:val="24"/>
        </w:rPr>
      </w:pPr>
    </w:p>
    <w:p w14:paraId="756D2A1A" w14:textId="77777777" w:rsidR="0048323D" w:rsidRPr="006C54F0" w:rsidRDefault="0048323D">
      <w:pPr>
        <w:rPr>
          <w:rFonts w:ascii="Arial" w:hAnsi="Arial" w:cs="Arial"/>
          <w:sz w:val="24"/>
          <w:szCs w:val="24"/>
        </w:rPr>
      </w:pPr>
    </w:p>
    <w:sectPr w:rsidR="0048323D" w:rsidRPr="006C54F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E203A" w14:textId="77777777" w:rsidR="00441CC8" w:rsidRDefault="00441CC8" w:rsidP="00940426">
      <w:pPr>
        <w:spacing w:after="0" w:line="240" w:lineRule="auto"/>
      </w:pPr>
      <w:r>
        <w:separator/>
      </w:r>
    </w:p>
  </w:endnote>
  <w:endnote w:type="continuationSeparator" w:id="0">
    <w:p w14:paraId="56CF652C" w14:textId="77777777" w:rsidR="00441CC8" w:rsidRDefault="00441CC8" w:rsidP="00940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2A23" w14:textId="77777777" w:rsidR="0010758E" w:rsidRDefault="00107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2A24" w14:textId="77777777" w:rsidR="00940426" w:rsidRPr="0010758E" w:rsidRDefault="0010758E" w:rsidP="0010758E">
    <w:pPr>
      <w:pStyle w:val="Footer"/>
      <w:jc w:val="center"/>
      <w:rPr>
        <w:rFonts w:ascii="Arial" w:hAnsi="Arial" w:cs="Arial"/>
        <w:color w:val="A8D08D" w:themeColor="accent6" w:themeTint="99"/>
        <w:sz w:val="20"/>
        <w:szCs w:val="20"/>
      </w:rPr>
    </w:pPr>
    <w:r w:rsidRPr="0010758E">
      <w:rPr>
        <w:rFonts w:ascii="Arial" w:hAnsi="Arial" w:cs="Arial"/>
        <w:color w:val="A8D08D" w:themeColor="accent6" w:themeTint="99"/>
        <w:sz w:val="20"/>
        <w:szCs w:val="20"/>
      </w:rPr>
      <w:t>Randolph Hill Nursing Homes Group</w:t>
    </w:r>
    <w:r>
      <w:rPr>
        <w:rFonts w:ascii="Arial" w:hAnsi="Arial" w:cs="Arial"/>
        <w:color w:val="A8D08D" w:themeColor="accent6" w:themeTint="99"/>
        <w:sz w:val="20"/>
        <w:szCs w:val="20"/>
      </w:rPr>
      <w:t xml:space="preserve"> Ltd</w:t>
    </w:r>
  </w:p>
  <w:p w14:paraId="756D2A25" w14:textId="77777777" w:rsidR="0010758E" w:rsidRDefault="0010758E" w:rsidP="0010758E">
    <w:pPr>
      <w:pStyle w:val="Footer"/>
      <w:jc w:val="center"/>
      <w:rPr>
        <w:rFonts w:ascii="Arial" w:hAnsi="Arial" w:cs="Arial"/>
        <w:color w:val="A8D08D" w:themeColor="accent6" w:themeTint="99"/>
        <w:sz w:val="20"/>
        <w:szCs w:val="20"/>
      </w:rPr>
    </w:pPr>
    <w:r w:rsidRPr="0010758E">
      <w:rPr>
        <w:rFonts w:ascii="Arial" w:hAnsi="Arial" w:cs="Arial"/>
        <w:color w:val="A8D08D" w:themeColor="accent6" w:themeTint="99"/>
        <w:sz w:val="20"/>
        <w:szCs w:val="20"/>
      </w:rPr>
      <w:t>2</w:t>
    </w:r>
    <w:r w:rsidRPr="0010758E">
      <w:rPr>
        <w:rFonts w:ascii="Arial" w:hAnsi="Arial" w:cs="Arial"/>
        <w:color w:val="A8D08D" w:themeColor="accent6" w:themeTint="99"/>
        <w:sz w:val="20"/>
        <w:szCs w:val="20"/>
        <w:vertAlign w:val="superscript"/>
      </w:rPr>
      <w:t>nd</w:t>
    </w:r>
    <w:r w:rsidRPr="0010758E">
      <w:rPr>
        <w:rFonts w:ascii="Arial" w:hAnsi="Arial" w:cs="Arial"/>
        <w:color w:val="A8D08D" w:themeColor="accent6" w:themeTint="99"/>
        <w:sz w:val="20"/>
        <w:szCs w:val="20"/>
      </w:rPr>
      <w:t xml:space="preserve"> Floor, 6 Redheughs Rigg, South Gyle, Edinburgh, EH12 9DQ</w:t>
    </w:r>
  </w:p>
  <w:p w14:paraId="756D2A26" w14:textId="77777777" w:rsidR="0010758E" w:rsidRPr="0010758E" w:rsidRDefault="0010758E" w:rsidP="0010758E">
    <w:pPr>
      <w:pStyle w:val="Footer"/>
      <w:jc w:val="center"/>
      <w:rPr>
        <w:rFonts w:ascii="Arial" w:hAnsi="Arial" w:cs="Arial"/>
        <w:color w:val="A8D08D" w:themeColor="accent6" w:themeTint="99"/>
        <w:sz w:val="20"/>
        <w:szCs w:val="20"/>
      </w:rPr>
    </w:pPr>
    <w:r w:rsidRPr="0010758E">
      <w:rPr>
        <w:rFonts w:ascii="Arial" w:eastAsiaTheme="minorEastAsia" w:hAnsi="Arial" w:cs="Arial"/>
        <w:noProof/>
        <w:color w:val="A8D08D" w:themeColor="accent6" w:themeTint="99"/>
        <w:sz w:val="20"/>
        <w:szCs w:val="20"/>
        <w:lang w:eastAsia="en-GB"/>
      </w:rPr>
      <w:t>Registered Company No. SC111827</w:t>
    </w:r>
  </w:p>
  <w:p w14:paraId="756D2A27" w14:textId="77777777" w:rsidR="00940426" w:rsidRDefault="009404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2A29" w14:textId="77777777" w:rsidR="0010758E" w:rsidRDefault="00107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3A1A8" w14:textId="77777777" w:rsidR="00441CC8" w:rsidRDefault="00441CC8" w:rsidP="00940426">
      <w:pPr>
        <w:spacing w:after="0" w:line="240" w:lineRule="auto"/>
      </w:pPr>
      <w:r>
        <w:separator/>
      </w:r>
    </w:p>
  </w:footnote>
  <w:footnote w:type="continuationSeparator" w:id="0">
    <w:p w14:paraId="7B0A2DDC" w14:textId="77777777" w:rsidR="00441CC8" w:rsidRDefault="00441CC8" w:rsidP="00940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2A21" w14:textId="77777777" w:rsidR="0010758E" w:rsidRDefault="001075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2A22" w14:textId="77777777" w:rsidR="0010758E" w:rsidRDefault="001075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2A28" w14:textId="77777777" w:rsidR="0010758E" w:rsidRDefault="001075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9EA"/>
    <w:multiLevelType w:val="hybridMultilevel"/>
    <w:tmpl w:val="E7A42BB2"/>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start w:val="1"/>
      <w:numFmt w:val="bullet"/>
      <w:lvlText w:val=""/>
      <w:lvlJc w:val="left"/>
      <w:pPr>
        <w:ind w:left="2018" w:hanging="360"/>
      </w:pPr>
      <w:rPr>
        <w:rFonts w:ascii="Wingdings" w:hAnsi="Wingdings" w:hint="default"/>
      </w:rPr>
    </w:lvl>
    <w:lvl w:ilvl="3" w:tplc="08090001">
      <w:start w:val="1"/>
      <w:numFmt w:val="bullet"/>
      <w:lvlText w:val=""/>
      <w:lvlJc w:val="left"/>
      <w:pPr>
        <w:ind w:left="2738" w:hanging="360"/>
      </w:pPr>
      <w:rPr>
        <w:rFonts w:ascii="Symbol" w:hAnsi="Symbol" w:hint="default"/>
      </w:rPr>
    </w:lvl>
    <w:lvl w:ilvl="4" w:tplc="08090003">
      <w:start w:val="1"/>
      <w:numFmt w:val="bullet"/>
      <w:lvlText w:val="o"/>
      <w:lvlJc w:val="left"/>
      <w:pPr>
        <w:ind w:left="3458" w:hanging="360"/>
      </w:pPr>
      <w:rPr>
        <w:rFonts w:ascii="Courier New" w:hAnsi="Courier New" w:cs="Courier New" w:hint="default"/>
      </w:rPr>
    </w:lvl>
    <w:lvl w:ilvl="5" w:tplc="08090005">
      <w:start w:val="1"/>
      <w:numFmt w:val="bullet"/>
      <w:lvlText w:val=""/>
      <w:lvlJc w:val="left"/>
      <w:pPr>
        <w:ind w:left="4178" w:hanging="360"/>
      </w:pPr>
      <w:rPr>
        <w:rFonts w:ascii="Wingdings" w:hAnsi="Wingdings" w:hint="default"/>
      </w:rPr>
    </w:lvl>
    <w:lvl w:ilvl="6" w:tplc="08090001">
      <w:start w:val="1"/>
      <w:numFmt w:val="bullet"/>
      <w:lvlText w:val=""/>
      <w:lvlJc w:val="left"/>
      <w:pPr>
        <w:ind w:left="4898" w:hanging="360"/>
      </w:pPr>
      <w:rPr>
        <w:rFonts w:ascii="Symbol" w:hAnsi="Symbol" w:hint="default"/>
      </w:rPr>
    </w:lvl>
    <w:lvl w:ilvl="7" w:tplc="08090003">
      <w:start w:val="1"/>
      <w:numFmt w:val="bullet"/>
      <w:lvlText w:val="o"/>
      <w:lvlJc w:val="left"/>
      <w:pPr>
        <w:ind w:left="5618" w:hanging="360"/>
      </w:pPr>
      <w:rPr>
        <w:rFonts w:ascii="Courier New" w:hAnsi="Courier New" w:cs="Courier New" w:hint="default"/>
      </w:rPr>
    </w:lvl>
    <w:lvl w:ilvl="8" w:tplc="08090005">
      <w:start w:val="1"/>
      <w:numFmt w:val="bullet"/>
      <w:lvlText w:val=""/>
      <w:lvlJc w:val="left"/>
      <w:pPr>
        <w:ind w:left="6338" w:hanging="360"/>
      </w:pPr>
      <w:rPr>
        <w:rFonts w:ascii="Wingdings" w:hAnsi="Wingdings" w:hint="default"/>
      </w:rPr>
    </w:lvl>
  </w:abstractNum>
  <w:abstractNum w:abstractNumId="1" w15:restartNumberingAfterBreak="0">
    <w:nsid w:val="66504E1D"/>
    <w:multiLevelType w:val="hybridMultilevel"/>
    <w:tmpl w:val="05AE3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025317">
    <w:abstractNumId w:val="0"/>
  </w:num>
  <w:num w:numId="2" w16cid:durableId="1423263434">
    <w:abstractNumId w:val="0"/>
  </w:num>
  <w:num w:numId="3" w16cid:durableId="634799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6"/>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77E"/>
    <w:rsid w:val="000003BC"/>
    <w:rsid w:val="00001993"/>
    <w:rsid w:val="000046BF"/>
    <w:rsid w:val="00046C7F"/>
    <w:rsid w:val="000722B2"/>
    <w:rsid w:val="00096E15"/>
    <w:rsid w:val="000B59A3"/>
    <w:rsid w:val="000D4022"/>
    <w:rsid w:val="000E02C2"/>
    <w:rsid w:val="0010758E"/>
    <w:rsid w:val="00171389"/>
    <w:rsid w:val="00225315"/>
    <w:rsid w:val="00226163"/>
    <w:rsid w:val="003B54CB"/>
    <w:rsid w:val="00420691"/>
    <w:rsid w:val="00434DE4"/>
    <w:rsid w:val="00441CC8"/>
    <w:rsid w:val="0047282E"/>
    <w:rsid w:val="00475B04"/>
    <w:rsid w:val="0048323D"/>
    <w:rsid w:val="00490CE4"/>
    <w:rsid w:val="004E4A82"/>
    <w:rsid w:val="004F47EF"/>
    <w:rsid w:val="00510501"/>
    <w:rsid w:val="00542999"/>
    <w:rsid w:val="0054707C"/>
    <w:rsid w:val="00563CF3"/>
    <w:rsid w:val="005D3805"/>
    <w:rsid w:val="005D5CE4"/>
    <w:rsid w:val="00654A70"/>
    <w:rsid w:val="006863B3"/>
    <w:rsid w:val="006B3EE4"/>
    <w:rsid w:val="006C1510"/>
    <w:rsid w:val="006C54F0"/>
    <w:rsid w:val="006D69A4"/>
    <w:rsid w:val="0070195A"/>
    <w:rsid w:val="00730674"/>
    <w:rsid w:val="00733E64"/>
    <w:rsid w:val="007D3BC2"/>
    <w:rsid w:val="007E049E"/>
    <w:rsid w:val="00820FBC"/>
    <w:rsid w:val="008A4A23"/>
    <w:rsid w:val="00940426"/>
    <w:rsid w:val="0097151E"/>
    <w:rsid w:val="00982290"/>
    <w:rsid w:val="00A07CB1"/>
    <w:rsid w:val="00A53440"/>
    <w:rsid w:val="00A91B94"/>
    <w:rsid w:val="00AA7EC7"/>
    <w:rsid w:val="00AE69AF"/>
    <w:rsid w:val="00AF456C"/>
    <w:rsid w:val="00C63B3C"/>
    <w:rsid w:val="00CC208A"/>
    <w:rsid w:val="00CE133D"/>
    <w:rsid w:val="00D6358B"/>
    <w:rsid w:val="00D9077E"/>
    <w:rsid w:val="00D97FBF"/>
    <w:rsid w:val="00DB15BA"/>
    <w:rsid w:val="00E17B2A"/>
    <w:rsid w:val="00E317AE"/>
    <w:rsid w:val="00F31A59"/>
    <w:rsid w:val="00F31AD1"/>
    <w:rsid w:val="00F53DA3"/>
    <w:rsid w:val="00FF5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D29A8"/>
  <w15:chartTrackingRefBased/>
  <w15:docId w15:val="{925BA204-1B80-48ED-9113-65F95F992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77E"/>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077E"/>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D9077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04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426"/>
  </w:style>
  <w:style w:type="paragraph" w:styleId="Footer">
    <w:name w:val="footer"/>
    <w:basedOn w:val="Normal"/>
    <w:link w:val="FooterChar"/>
    <w:uiPriority w:val="99"/>
    <w:unhideWhenUsed/>
    <w:rsid w:val="009404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2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728</Words>
  <Characters>4150</Characters>
  <Application>Microsoft Office Word</Application>
  <DocSecurity>6</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Wood</dc:creator>
  <cp:keywords/>
  <dc:description/>
  <cp:lastModifiedBy>Julie Kennedy</cp:lastModifiedBy>
  <cp:revision>2</cp:revision>
  <dcterms:created xsi:type="dcterms:W3CDTF">2024-06-03T09:19:00Z</dcterms:created>
  <dcterms:modified xsi:type="dcterms:W3CDTF">2024-06-03T09:19:00Z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